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Arial" w:hAnsi="Arial"/>
          <w:color w:val="000000"/>
          <w:sz w:val="12"/>
          <w:szCs w:val="12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RESOLUÇÃO CSDP Nº 178, DE 05 DE DEZEMBRO DE 2016.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 xml:space="preserve">Altera a </w:t>
      </w:r>
      <w:bookmarkStart w:id="0" w:name="__DdeLink__18299_2006750547"/>
      <w:r>
        <w:rPr>
          <w:rFonts w:eastAsia="Times New Roman" w:cs="Times New Roman" w:ascii="Arial" w:hAnsi="Arial"/>
          <w:color w:val="000000"/>
          <w:sz w:val="24"/>
          <w:szCs w:val="24"/>
        </w:rPr>
        <w:t>Resolução CSDP Nº 148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, de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 xml:space="preserve"> 25 de maio de 201</w:t>
      </w:r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5, que cria e estabelece o processamento do Procedimento Administrativo Preparatório para Atuação na Tutela Coletiva (PAPATC), no âmbito da Defensoria Pública do Estado do Pará.</w:t>
      </w:r>
    </w:p>
    <w:p>
      <w:pPr>
        <w:pStyle w:val="NormalWeb"/>
        <w:widowControl/>
        <w:bidi w:val="0"/>
        <w:spacing w:lineRule="auto" w:line="240" w:beforeAutospacing="0" w:before="0" w:afterAutospacing="0" w:after="0"/>
        <w:ind w:left="4252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O CONSELHO SUPERIOR DA DEFENSORIA PÚBLICA DO ESTADO DO PARÁ, no uso de suas atribuições que lhe confere a Lei Complementar nº 054, de 07 de fevereiro de 2006;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>CONSIDERANDO a deliberação, por maioria de votos, do Egrégio Conselho Superior da Defensoria Pública do Estado na 133ª Sessão Ordinária, realizada no dia 05 de dezembro de 2016;</w:t>
      </w:r>
    </w:p>
    <w:p>
      <w:pPr>
        <w:pStyle w:val="Normal"/>
        <w:spacing w:lineRule="auto" w:line="240" w:before="0" w:after="0"/>
        <w:ind w:firstLine="1418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Web"/>
        <w:spacing w:lineRule="auto" w:line="240" w:beforeAutospacing="0" w:before="0" w:afterAutospacing="0" w:after="0"/>
        <w:ind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RESOLVE: </w:t>
      </w:r>
    </w:p>
    <w:p>
      <w:pPr>
        <w:pStyle w:val="NormalWeb"/>
        <w:spacing w:lineRule="auto" w:line="240" w:beforeAutospacing="0" w:before="0" w:afterAutospacing="0" w:after="0"/>
        <w:ind w:firstLine="1418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Art. 1º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 Alterar o caput do Art. 4º da Resolução CSDP Nº 148, de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 xml:space="preserve"> 25 de maio de 2015, para que este passe a constar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“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Art. 4º O Procedimento Administrativo Preparatório para Atuação na Tutela Coletiva – PAPATC será instaurado por Defensor (a) Público (a) a fim de apurar as práticas de danos coletivos, realizados em desfavor dos interesses individuais homogêneos, coletivos e difusos ou da Defensoria Pública Estadual.”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 xml:space="preserve">Art. 2º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Alterar o Art. 5º da referida Resolução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, para que este passe a constar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“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Art. 5º Se, no curso do Procedimento Administrativo Preparatório para Atuação Coletiva, novos fatos indicarem necessidade de investigação de objeto diverso do que estiver sendo investigado, o órgão da Defensoria Pública poderá determinar a extração de peças para instauração de outro Procedimento Administrativo Preparatório para Atuação Coletiva, respeitadas as normas incidentes quanto à divisão de atribuições.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§1º A instauração do Procedimento Administrativo Preparatório para Atuação na Tutela Coletiva será comunicada ao Defensor Público Geral, à Diretoria e ao Coordenador do Núcleo de abrangência a que a respectiva Defensoria Pública de atuação do Defensor estiver vinculada, no prazo de 05 (cinco) dias, com o encaminhamento da cópia da Portaria de Instauração, se for o caso.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§2º O Procedimento Administrativo Preparatório para Atuação na Tutela Coletiva – PAPATC será numerado em ordem crescente, renovada anualmente, devidamente registrado em numeração e livro próprio do Núcleo da Defensoria Pública, seguindo padronização deste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.”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Art. 3º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 xml:space="preserve"> Alterar o Parágrafo Único do Art. 10 da referida Resolução, para que este passe a constar: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“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>Parágrafo Único. No caso de não homologação do arquivamento, o Defensor Público Geral designará outro Defensor Público para atuação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</w:rPr>
        <w:t>.”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Arial" w:hAnsi="Arial"/>
          <w:b/>
          <w:bCs/>
          <w:i w:val="false"/>
          <w:iCs w:val="false"/>
          <w:sz w:val="24"/>
          <w:szCs w:val="24"/>
        </w:rPr>
        <w:t>Art. 4º</w:t>
      </w: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Arial" w:hAnsi="Arial"/>
          <w:i w:val="false"/>
          <w:iCs w:val="false"/>
          <w:sz w:val="24"/>
          <w:szCs w:val="24"/>
        </w:rPr>
        <w:t>Esta Resolução entra em vigor na data de sua publicação.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Arial" w:hAnsi="Arial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Sala de reuniões do Conselho Superior da Defensoria Pública do Estado, aos cinco dias do mês de dezembro do ano de dois mil e dezesseis.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JENIFFER DE BARROS RODRIGUES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Presidente do Conselho Superior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Defensora Pública Geral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VLADIMIR AUGUSTO DE CARVALHO LOBO E AVELINO KOENIG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Subdefensor Público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ANTÔNIO CARLOS DE ANDRADE MONTEIRO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Corregedor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FERNANDO ALBUQUERQUE DE OLIVEIRA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MARCO AURÉLIO VELLOZO GUTERRES</w:t>
      </w:r>
    </w:p>
    <w:p>
      <w:pPr>
        <w:pStyle w:val="Western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Membro Titular</w:t>
      </w:r>
    </w:p>
    <w:p>
      <w:pPr>
        <w:pStyle w:val="Western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FRANCISCO ROBÉRIO CAVALCANTE PINHEIRO FILHO </w:t>
      </w:r>
    </w:p>
    <w:p>
      <w:pPr>
        <w:pStyle w:val="Western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Membro Titular</w:t>
      </w:r>
    </w:p>
    <w:p>
      <w:pPr>
        <w:pStyle w:val="Western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>WALTER AUGUSTO BARRETO TEIXEIRA</w:t>
      </w:r>
    </w:p>
    <w:p>
      <w:pPr>
        <w:pStyle w:val="Western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sectPr>
      <w:headerReference w:type="default" r:id="rId2"/>
      <w:type w:val="nextPage"/>
      <w:pgSz w:w="11906" w:h="16838"/>
      <w:pgMar w:left="1701" w:right="1701" w:header="624" w:top="2382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sz w:val="22"/>
        <w:szCs w:val="22"/>
      </w:rPr>
    </w:pPr>
    <w:r>
      <w:rPr/>
      <w:drawing>
        <wp:inline distT="0" distB="0" distL="0" distR="0">
          <wp:extent cx="782320" cy="68770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ESTADO DO PARÁ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bCs/>
        <w:sz w:val="24"/>
        <w:szCs w:val="24"/>
      </w:rPr>
    </w:pPr>
    <w:r>
      <w:rPr>
        <w:rFonts w:ascii="Arial" w:hAnsi="Arial"/>
        <w:b/>
        <w:bCs/>
        <w:sz w:val="22"/>
        <w:szCs w:val="22"/>
      </w:rPr>
      <w:t>DEFENSORIA PÚBLICA</w:t>
    </w:r>
  </w:p>
  <w:p>
    <w:pPr>
      <w:pStyle w:val="Ttulo6"/>
      <w:spacing w:lineRule="auto" w:line="240" w:before="0" w:after="0"/>
      <w:jc w:val="center"/>
      <w:rPr/>
    </w:pPr>
    <w:r>
      <w:rPr>
        <w:rFonts w:ascii="Arial" w:hAnsi="Arial"/>
        <w:b/>
        <w:bCs/>
        <w:sz w:val="22"/>
        <w:szCs w:val="22"/>
      </w:rPr>
      <w:t>CONSELHO SUPERIOR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6">
    <w:name w:val="Título 6"/>
    <w:basedOn w:val="Ttulododocumento"/>
    <w:pPr>
      <w:outlineLvl w:val="5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b1d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b1df6"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CabealhoChar" w:customStyle="1">
    <w:name w:val="Cabeçalho Char"/>
    <w:qFormat/>
    <w:rPr>
      <w:sz w:val="24"/>
    </w:rPr>
  </w:style>
  <w:style w:type="character" w:styleId="AssuntodocomentrioChar" w:customStyle="1">
    <w:name w:val="Assunto do comentário Char"/>
    <w:qFormat/>
    <w:rPr>
      <w:b/>
    </w:rPr>
  </w:style>
  <w:style w:type="character" w:styleId="TextodecomentrioChar" w:customStyle="1">
    <w:name w:val="Texto de comentário Char"/>
    <w:qFormat/>
    <w:rPr/>
  </w:style>
  <w:style w:type="character" w:styleId="Refdecomentrio1" w:customStyle="1">
    <w:name w:val="Ref. de comentário1"/>
    <w:qFormat/>
    <w:rPr>
      <w:sz w:val="16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Recuodecorpodetexto2Char" w:customStyle="1">
    <w:name w:val="Recuo de corpo de texto 2 Char"/>
    <w:qFormat/>
    <w:rPr>
      <w:sz w:val="24"/>
    </w:rPr>
  </w:style>
  <w:style w:type="character" w:styleId="Appleconvertedspace" w:customStyle="1">
    <w:name w:val="apple-converted-space"/>
    <w:qFormat/>
    <w:rPr/>
  </w:style>
  <w:style w:type="character" w:styleId="CorpodetextoChar" w:customStyle="1">
    <w:name w:val="Corpo de texto Char"/>
    <w:qFormat/>
    <w:rPr>
      <w:rFonts w:ascii="Verdana" w:hAnsi="Verdana" w:eastAsia="Verdana"/>
      <w:sz w:val="22"/>
    </w:rPr>
  </w:style>
  <w:style w:type="character" w:styleId="Yiv620471054appleconvertedspace" w:customStyle="1">
    <w:name w:val="yiv620471054apple-converted-space"/>
    <w:qFormat/>
    <w:rPr/>
  </w:style>
  <w:style w:type="character" w:styleId="Ttulo6Char" w:customStyle="1">
    <w:name w:val="Título 6 Char"/>
    <w:qFormat/>
    <w:rPr>
      <w:rFonts w:eastAsia="Tahoma"/>
      <w:b/>
      <w:sz w:val="32"/>
    </w:rPr>
  </w:style>
  <w:style w:type="character" w:styleId="Ttulo7Char" w:customStyle="1">
    <w:name w:val="Título 7 Char"/>
    <w:qFormat/>
    <w:rPr>
      <w:sz w:val="24"/>
    </w:rPr>
  </w:style>
  <w:style w:type="character" w:styleId="TextodebaloChar" w:customStyle="1">
    <w:name w:val="Texto de balão Char"/>
    <w:qFormat/>
    <w:rPr>
      <w:rFonts w:ascii="Tahoma" w:hAnsi="Tahoma" w:eastAsia="Tahoma"/>
      <w:sz w:val="16"/>
    </w:rPr>
  </w:style>
  <w:style w:type="character" w:styleId="Ttulo2Char" w:customStyle="1">
    <w:name w:val="Título 2 Char"/>
    <w:qFormat/>
    <w:rPr>
      <w:rFonts w:ascii="Cambria" w:hAnsi="Cambria" w:eastAsia="Times New Roman"/>
      <w:b/>
      <w:i/>
      <w:sz w:val="28"/>
    </w:rPr>
  </w:style>
  <w:style w:type="character" w:styleId="Fontepargpadro1" w:customStyle="1">
    <w:name w:val="Fonte parág. padrão1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b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b/>
      <w:color w:val="000000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2" w:customStyle="1">
    <w:name w:val="WW8Num7z2"/>
    <w:qFormat/>
    <w:rPr>
      <w:rFonts w:ascii="Wingdings" w:hAnsi="Wingdings" w:eastAsia="Wingdings"/>
    </w:rPr>
  </w:style>
  <w:style w:type="character" w:styleId="WW8Num7z1" w:customStyle="1">
    <w:name w:val="WW8Num7z1"/>
    <w:qFormat/>
    <w:rPr>
      <w:rFonts w:ascii="Courier New" w:hAnsi="Courier New" w:eastAsia="Courier New"/>
    </w:rPr>
  </w:style>
  <w:style w:type="character" w:styleId="WW8Num7z0" w:customStyle="1">
    <w:name w:val="WW8Num7z0"/>
    <w:qFormat/>
    <w:rPr>
      <w:rFonts w:ascii="Symbol" w:hAnsi="Symbol" w:eastAsia="Symbo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b/>
      <w:color w:val="000000"/>
    </w:rPr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1b1df6"/>
    <w:pPr>
      <w:spacing w:lineRule="auto" w:line="240" w:before="0" w:after="0"/>
    </w:pPr>
    <w:rPr>
      <w:sz w:val="20"/>
      <w:szCs w:val="20"/>
    </w:rPr>
  </w:style>
  <w:style w:type="paragraph" w:styleId="Notaderodap" w:customStyle="1">
    <w:name w:val="Nota de rodapé"/>
    <w:basedOn w:val="Normal"/>
    <w:pPr/>
    <w:rPr/>
  </w:style>
  <w:style w:type="paragraph" w:styleId="Cabealho">
    <w:name w:val="Cabeçalho"/>
    <w:basedOn w:val="Normal"/>
    <w:pPr/>
    <w:rPr/>
  </w:style>
  <w:style w:type="paragraph" w:styleId="Annotationsubject">
    <w:name w:val="annotation subjec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"/>
      <w:b/>
      <w:color w:val="000000"/>
      <w:sz w:val="20"/>
      <w:szCs w:val="22"/>
      <w:lang w:val="pt-BR" w:eastAsia="ar-SA" w:bidi="ar-SA"/>
    </w:rPr>
  </w:style>
  <w:style w:type="paragraph" w:styleId="Textodecomentrio1" w:customStyle="1">
    <w:name w:val="Texto de comentário1"/>
    <w:basedOn w:val="Normal"/>
    <w:qFormat/>
    <w:pPr>
      <w:suppressAutoHyphens w:val="true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Estilo" w:customStyle="1">
    <w:name w:val="Estilo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color w:val="000000"/>
      <w:sz w:val="24"/>
      <w:szCs w:val="24"/>
      <w:lang w:val="pt-BR" w:eastAsia="ar-SA" w:bidi="ar-SA"/>
    </w:rPr>
  </w:style>
  <w:style w:type="paragraph" w:styleId="Recuodecorpodetexto22" w:customStyle="1">
    <w:name w:val="Recuo de corpo de texto 22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0"/>
      <w:lang w:eastAsia="ar-SA"/>
    </w:rPr>
  </w:style>
  <w:style w:type="paragraph" w:styleId="BodyText2">
    <w:name w:val="Body Text 2"/>
    <w:basedOn w:val="Normal"/>
    <w:qFormat/>
    <w:pPr>
      <w:suppressAutoHyphens w:val="true"/>
      <w:ind w:firstLine="1701"/>
      <w:jc w:val="both"/>
    </w:pPr>
    <w:rPr>
      <w:rFonts w:ascii="Bookman Old Style" w:hAnsi="Bookman Old Style" w:eastAsia="Bookman Old Style"/>
      <w:color w:val="000000"/>
      <w:sz w:val="28"/>
      <w:lang w:eastAsia="ar-SA"/>
    </w:rPr>
  </w:style>
  <w:style w:type="paragraph" w:styleId="Artigo" w:customStyle="1">
    <w:name w:val="artigo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" w:customStyle="1">
    <w:name w:val="estilo1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Estilo10" w:customStyle="1">
    <w:name w:val="estilo10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Recuodecorpodetexto21" w:customStyle="1">
    <w:name w:val="Recuo de corpo de texto 21"/>
    <w:basedOn w:val="Normal"/>
    <w:qFormat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Georgia" w:hAnsi="Georgia" w:eastAsia="Georgia" w:cs="Liberation Serif"/>
      <w:color w:val="000000"/>
      <w:sz w:val="24"/>
      <w:szCs w:val="24"/>
      <w:lang w:val="pt-BR" w:eastAsia="ar-SA" w:bidi="ar-SA"/>
    </w:rPr>
  </w:style>
  <w:style w:type="paragraph" w:styleId="Yiv620471054msonormal" w:customStyle="1">
    <w:name w:val="yiv620471054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Yiv868846938msonormal" w:customStyle="1">
    <w:name w:val="yiv868846938msonormal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BalloonText">
    <w:name w:val="Balloon Text"/>
    <w:basedOn w:val="Normal"/>
    <w:qFormat/>
    <w:pPr>
      <w:suppressAutoHyphens w:val="true"/>
    </w:pPr>
    <w:rPr>
      <w:rFonts w:ascii="Tahoma" w:hAnsi="Tahoma" w:eastAsia="Tahoma"/>
      <w:color w:val="000000"/>
      <w:sz w:val="16"/>
      <w:lang w:eastAsia="ar-SA"/>
    </w:rPr>
  </w:style>
  <w:style w:type="paragraph" w:styleId="Msonormalcxsplast" w:customStyle="1">
    <w:name w:val="msonormalcxsplast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ListParagraph">
    <w:name w:val="List Paragraph"/>
    <w:basedOn w:val="Normal"/>
    <w:qFormat/>
    <w:pPr>
      <w:suppressAutoHyphens w:val="true"/>
      <w:ind w:left="708" w:hanging="0"/>
    </w:pPr>
    <w:rPr>
      <w:rFonts w:ascii="Calibri" w:hAnsi="Calibri" w:eastAsia="Calibri"/>
      <w:color w:val="000000"/>
      <w:lang w:eastAsia="ar-SA"/>
    </w:rPr>
  </w:style>
  <w:style w:type="paragraph" w:styleId="Msonormalcxspmiddle" w:customStyle="1">
    <w:name w:val="msonormalcxspmiddle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estern" w:customStyle="1">
    <w:name w:val="western"/>
    <w:basedOn w:val="Normal"/>
    <w:qFormat/>
    <w:pPr>
      <w:suppressAutoHyphens w:val="true"/>
      <w:spacing w:before="280" w:after="28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WWLegenda" w:customStyle="1">
    <w:name w:val="WW-Legenda"/>
    <w:basedOn w:val="Normal"/>
    <w:qFormat/>
    <w:pPr>
      <w:widowControl w:val="false"/>
      <w:suppressAutoHyphens w:val="true"/>
      <w:jc w:val="both"/>
    </w:pPr>
    <w:rPr>
      <w:rFonts w:ascii="Times New Roman" w:hAnsi="Times New Roman" w:eastAsia="Tahoma"/>
      <w:b/>
      <w:color w:val="000000"/>
      <w:sz w:val="24"/>
      <w:lang w:eastAsia="ar-SA"/>
    </w:rPr>
  </w:style>
  <w:style w:type="paragraph" w:styleId="Ttulo1" w:customStyle="1">
    <w:name w:val="Título1"/>
    <w:basedOn w:val="Normal"/>
    <w:qFormat/>
    <w:pPr>
      <w:keepNext/>
      <w:suppressAutoHyphens w:val="true"/>
      <w:spacing w:before="240" w:after="120"/>
    </w:pPr>
    <w:rPr>
      <w:rFonts w:ascii="Liberation Sans" w:hAnsi="Liberation Sans" w:eastAsia="Mangal"/>
      <w:color w:val="000000"/>
      <w:sz w:val="28"/>
      <w:lang w:eastAsia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A190C-892E-4E6F-A70B-42CFC6A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LibreOffice/5.0.6.3$Windows_x86 LibreOffice_project/490fc03b25318460cfc54456516ea2519c11d1aa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2016-09-22T21:23:00Z</dcterms:created>
  <dc:creator>antonio.monteiro</dc:creator>
  <dc:language>pt-BR</dc:language>
  <cp:lastPrinted>2016-12-06T17:09:36Z</cp:lastPrinted>
  <dcterms:modified xsi:type="dcterms:W3CDTF">2016-12-06T17:45:10Z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